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74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742940"/>
                    </a:xfrm>
                    <a:prstGeom prst="rect">
                      <a:avLst/>
                    </a:prstGeom>
                    <a:noFill/>
                  </pic:spPr>
                </pic:pic>
              </a:graphicData>
            </a:graphic>
          </wp:anchor>
        </w:drawing>
      </w:r>
    </w:p>
    <w:p>
      <w:pPr>
        <w:sectPr>
          <w:pgSz w:w="11900" w:h="16838" w:orient="portrait"/>
          <w:cols w:equalWidth="0" w:num="1">
            <w:col w:w="10940"/>
          </w:cols>
          <w:pgMar w:left="480" w:top="230" w:right="479" w:bottom="50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Feng Dagang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7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36Kr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KRKR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505"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36KR B6 HENGTONG</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SHANGWUYUAN</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180" w:val="left"/>
        </w:tabs>
        <w:rPr>
          <w:sz w:val="20"/>
          <w:szCs w:val="20"/>
          <w:color w:val="auto"/>
        </w:rPr>
      </w:pPr>
      <w:r>
        <w:rPr>
          <w:rFonts w:ascii="Times New Roman" w:cs="Times New Roman" w:eastAsia="Times New Roman" w:hAnsi="Times New Roman"/>
          <w:sz w:val="18"/>
          <w:szCs w:val="18"/>
          <w:color w:val="0000FF"/>
        </w:rPr>
        <w:t>BEIJING</w:t>
      </w:r>
      <w:r>
        <w:rPr>
          <w:sz w:val="20"/>
          <w:szCs w:val="20"/>
          <w:color w:val="auto"/>
        </w:rPr>
        <w:tab/>
      </w:r>
      <w:r>
        <w:rPr>
          <w:rFonts w:ascii="Times New Roman" w:cs="Times New Roman" w:eastAsia="Times New Roman" w:hAnsi="Times New Roman"/>
          <w:sz w:val="18"/>
          <w:szCs w:val="18"/>
          <w:color w:val="0000FF"/>
        </w:rPr>
        <w:t>100000</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505"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4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380" w:type="dxa"/>
            <w:vAlign w:val="bottom"/>
          </w:tcPr>
          <w:p>
            <w:pPr>
              <w:ind w:left="144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380" w:type="dxa"/>
            <w:vAlign w:val="bottom"/>
          </w:tcPr>
          <w:p>
            <w:pPr>
              <w:ind w:left="144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380" w:type="dxa"/>
            <w:vAlign w:val="bottom"/>
          </w:tcPr>
          <w:p>
            <w:pPr>
              <w:ind w:left="144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4"/>
        </w:trPr>
        <w:tc>
          <w:tcPr>
            <w:tcW w:w="20" w:type="dxa"/>
            <w:vAlign w:val="bottom"/>
          </w:tcPr>
          <w:p>
            <w:pPr>
              <w:spacing w:after="0"/>
              <w:rPr>
                <w:sz w:val="3"/>
                <w:szCs w:val="3"/>
                <w:color w:val="auto"/>
              </w:rPr>
            </w:pPr>
          </w:p>
        </w:tc>
        <w:tc>
          <w:tcPr>
            <w:tcW w:w="3440" w:type="dxa"/>
            <w:vAlign w:val="bottom"/>
            <w:tcBorders>
              <w:bottom w:val="single" w:sz="8" w:color="2C2C2C"/>
            </w:tcBorders>
          </w:tcPr>
          <w:p>
            <w:pPr>
              <w:spacing w:after="0"/>
              <w:rPr>
                <w:sz w:val="3"/>
                <w:szCs w:val="3"/>
                <w:color w:val="auto"/>
              </w:rPr>
            </w:pPr>
          </w:p>
        </w:tc>
        <w:tc>
          <w:tcPr>
            <w:tcW w:w="33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370"/>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380" w:type="dxa"/>
            <w:vAlign w:val="bottom"/>
            <w:tcBorders>
              <w:bottom w:val="single" w:sz="8" w:color="2C2C2C"/>
            </w:tcBorders>
          </w:tcPr>
          <w:p>
            <w:pPr>
              <w:jc w:val="right"/>
              <w:ind w:right="456"/>
              <w:spacing w:after="0"/>
              <w:rPr>
                <w:sz w:val="20"/>
                <w:szCs w:val="20"/>
                <w:color w:val="auto"/>
              </w:rPr>
            </w:pPr>
            <w:r>
              <w:rPr>
                <w:rFonts w:ascii="Times New Roman" w:cs="Times New Roman" w:eastAsia="Times New Roman" w:hAnsi="Times New Roman"/>
                <w:sz w:val="20"/>
                <w:szCs w:val="20"/>
                <w:color w:val="0000FF"/>
              </w:rPr>
              <w:t>23,553,600</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By Palopo Holding Limited</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C Ordinary Shares</w:t>
            </w:r>
          </w:p>
        </w:tc>
        <w:tc>
          <w:tcPr>
            <w:tcW w:w="3380" w:type="dxa"/>
            <w:vAlign w:val="bottom"/>
            <w:tcBorders>
              <w:bottom w:val="single" w:sz="8" w:color="2C2C2C"/>
            </w:tcBorders>
          </w:tcPr>
          <w:p>
            <w:pPr>
              <w:jc w:val="right"/>
              <w:ind w:right="456"/>
              <w:spacing w:after="0"/>
              <w:rPr>
                <w:sz w:val="20"/>
                <w:szCs w:val="20"/>
                <w:color w:val="auto"/>
              </w:rPr>
            </w:pPr>
            <w:r>
              <w:rPr>
                <w:rFonts w:ascii="Times New Roman" w:cs="Times New Roman" w:eastAsia="Times New Roman" w:hAnsi="Times New Roman"/>
                <w:sz w:val="20"/>
                <w:szCs w:val="20"/>
                <w:color w:val="0000FF"/>
              </w:rPr>
              <w:t>54,958,400</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By Palopo Holding Limited</w:t>
            </w:r>
            <w:r>
              <w:rPr>
                <w:rFonts w:ascii="Times New Roman" w:cs="Times New Roman" w:eastAsia="Times New Roman" w:hAnsi="Times New Roman"/>
                <w:sz w:val="25"/>
                <w:szCs w:val="25"/>
                <w:color w:val="008000"/>
                <w:vertAlign w:val="superscript"/>
              </w:rPr>
              <w:t>(1)</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38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0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9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1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1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9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Employee Share Option</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09/07/2029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24,001,202</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0.0001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11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Employee Share Option</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09/07/2029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3,245,420</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0.0001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11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Employee Share Option</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12/19/2031</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5,000,000</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0.0001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11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0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by Palopo Holding Limited, a limited liability company incorporated under the laws of the British Virgin Islands wholly owned by Lording Global Limited and ultimately controlled by The Lording Trust. The Lording Trust is a trust established under the laws of the Cayman Islands and managed by TMF (Cayman) Ltd. as the trustee. Mr. Dagang Feng is the settlor of the trust, and Mr. Dagang Feng and his family members are the trust's beneficiaries.</w:t>
      </w:r>
    </w:p>
    <w:p>
      <w:pPr>
        <w:spacing w:after="0" w:line="29" w:lineRule="exact"/>
        <w:rPr>
          <w:rFonts w:ascii="Times New Roman" w:cs="Times New Roman" w:eastAsia="Times New Roman" w:hAnsi="Times New Roman"/>
          <w:sz w:val="15"/>
          <w:szCs w:val="15"/>
          <w:color w:val="008000"/>
        </w:rPr>
      </w:pPr>
    </w:p>
    <w:p>
      <w:pPr>
        <w:ind w:left="40" w:right="4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were granted on September 7, 2019, with 50% vested immediately, 6,000,300 shares vested on December 19, 2019 and 6,000,301 shares vested on December 19,2020. As of the date of this Form 3, these options are fully vested and exercisable.</w:t>
      </w:r>
    </w:p>
    <w:p>
      <w:pPr>
        <w:spacing w:after="0" w:line="17" w:lineRule="exact"/>
        <w:rPr>
          <w:rFonts w:ascii="Times New Roman" w:cs="Times New Roman" w:eastAsia="Times New Roman" w:hAnsi="Times New Roman"/>
          <w:sz w:val="15"/>
          <w:szCs w:val="15"/>
          <w:color w:val="008000"/>
        </w:rPr>
      </w:pPr>
    </w:p>
    <w:p>
      <w:pPr>
        <w:ind w:left="40" w:right="6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were granted on September 7, 2019 and vest in equal installments over a four-year period. As of the date of this Form 3, these options are fully vested and exercisable.</w:t>
      </w:r>
    </w:p>
    <w:p>
      <w:pPr>
        <w:spacing w:after="0" w:line="17" w:lineRule="exact"/>
        <w:rPr>
          <w:rFonts w:ascii="Times New Roman" w:cs="Times New Roman" w:eastAsia="Times New Roman" w:hAnsi="Times New Roman"/>
          <w:sz w:val="15"/>
          <w:szCs w:val="15"/>
          <w:color w:val="008000"/>
        </w:rPr>
      </w:pPr>
    </w:p>
    <w:p>
      <w:pPr>
        <w:ind w:left="40" w:right="5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were granted on December 19, 2021. and vest in equal installments over a four-year period. As of the date of this Form 3, these options are fully vested and exercisable.</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/s/ Dagang Feng</w:t>
            </w:r>
          </w:p>
        </w:tc>
        <w:tc>
          <w:tcPr>
            <w:tcW w:w="90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50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01856" TargetMode="External"/><Relationship Id="rId11" Type="http://schemas.openxmlformats.org/officeDocument/2006/relationships/hyperlink" Target="http://www.sec.gov/cgi-bin/browse-edgar?action=getcompany&amp;CIK=0001779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2026-03-18T17:00:06Z</dcterms:created>
  <dcterms:modified xsi:type="dcterms:W3CDTF">2026-03-18T17:00:06Z</dcterms:modified>
</cp:coreProperties>
</file>